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D7" w:rsidRPr="00270C20" w:rsidRDefault="00E76DD7" w:rsidP="00E76DD7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r w:rsidRPr="00270C20">
        <w:rPr>
          <w:rFonts w:cs="Times New Roman"/>
          <w:b/>
          <w:sz w:val="24"/>
          <w:szCs w:val="24"/>
        </w:rPr>
        <w:t>Аннотация дисциплины «Прогнозирование  и планирование»</w:t>
      </w:r>
    </w:p>
    <w:p w:rsidR="00270C20" w:rsidRDefault="00270C20" w:rsidP="00270C20">
      <w:pPr>
        <w:jc w:val="center"/>
        <w:rPr>
          <w:rFonts w:eastAsia="Times New Roman" w:cs="Times New Roman"/>
          <w:b/>
        </w:rPr>
      </w:pPr>
      <w:r w:rsidRPr="00CC5C0B">
        <w:rPr>
          <w:rFonts w:eastAsia="Times New Roman" w:cs="Times New Roman"/>
          <w:b/>
        </w:rPr>
        <w:t>Направление подготовки: 38.03.04 Государственное и</w:t>
      </w:r>
    </w:p>
    <w:p w:rsidR="00270C20" w:rsidRPr="00CC5C0B" w:rsidRDefault="00270C20" w:rsidP="00270C20">
      <w:pPr>
        <w:jc w:val="center"/>
        <w:rPr>
          <w:rFonts w:eastAsia="Times New Roman" w:cs="Times New Roman"/>
          <w:b/>
        </w:rPr>
      </w:pPr>
      <w:r w:rsidRPr="00CC5C0B">
        <w:rPr>
          <w:rFonts w:eastAsia="Times New Roman" w:cs="Times New Roman"/>
          <w:b/>
        </w:rPr>
        <w:t xml:space="preserve"> муниципальное управление</w:t>
      </w:r>
    </w:p>
    <w:p w:rsidR="00270C20" w:rsidRDefault="00270C20" w:rsidP="00270C20">
      <w:pPr>
        <w:tabs>
          <w:tab w:val="left" w:pos="1485"/>
        </w:tabs>
        <w:jc w:val="center"/>
        <w:rPr>
          <w:rFonts w:eastAsia="Times New Roman" w:cs="Times New Roman"/>
        </w:rPr>
      </w:pPr>
      <w:r w:rsidRPr="00CC5C0B">
        <w:rPr>
          <w:rFonts w:eastAsia="Times New Roman" w:cs="Times New Roman"/>
          <w:b/>
        </w:rPr>
        <w:t xml:space="preserve">Программа подготовки: </w:t>
      </w:r>
      <w:r>
        <w:rPr>
          <w:rFonts w:eastAsia="Times New Roman"/>
          <w:b/>
        </w:rPr>
        <w:t xml:space="preserve">прикладной </w:t>
      </w:r>
      <w:proofErr w:type="spellStart"/>
      <w:r>
        <w:rPr>
          <w:rFonts w:eastAsia="Times New Roman"/>
          <w:b/>
        </w:rPr>
        <w:t>бакалавриат</w:t>
      </w:r>
      <w:proofErr w:type="spellEnd"/>
    </w:p>
    <w:p w:rsidR="00E76DD7" w:rsidRDefault="00E76DD7" w:rsidP="00E76DD7">
      <w:pPr>
        <w:tabs>
          <w:tab w:val="left" w:pos="540"/>
          <w:tab w:val="left" w:pos="1485"/>
        </w:tabs>
        <w:jc w:val="center"/>
        <w:rPr>
          <w:rFonts w:cs="Times New Roman"/>
          <w:b/>
          <w:bCs/>
          <w:sz w:val="24"/>
          <w:szCs w:val="24"/>
        </w:rPr>
      </w:pPr>
    </w:p>
    <w:p w:rsidR="00E76DD7" w:rsidRDefault="00E76DD7" w:rsidP="00E76DD7">
      <w:pPr>
        <w:pStyle w:val="Style4"/>
        <w:widowControl/>
        <w:spacing w:before="24" w:line="288" w:lineRule="exact"/>
        <w:ind w:firstLine="709"/>
        <w:jc w:val="both"/>
        <w:rPr>
          <w:color w:val="000000"/>
        </w:rPr>
      </w:pPr>
      <w:r>
        <w:rPr>
          <w:b/>
          <w:bCs/>
        </w:rPr>
        <w:t xml:space="preserve">Цель дисциплины: </w:t>
      </w:r>
      <w:r>
        <w:rPr>
          <w:color w:val="000000"/>
        </w:rPr>
        <w:t>дать студентам системное, целостное представление о базовых принципах, закономерностях, механизмах прогнозирования и планирования, обеспечить соответствующий теоретический уровень и практическую направленность в системе обуче</w:t>
      </w:r>
      <w:r>
        <w:rPr>
          <w:color w:val="000000"/>
        </w:rPr>
        <w:softHyphen/>
        <w:t>ния и будущей деятельности бакалавра.</w:t>
      </w:r>
    </w:p>
    <w:p w:rsidR="00E76DD7" w:rsidRDefault="00E76DD7" w:rsidP="00E76DD7">
      <w:pPr>
        <w:pStyle w:val="Style4"/>
        <w:widowControl/>
        <w:spacing w:before="24" w:line="288" w:lineRule="exact"/>
        <w:ind w:firstLine="709"/>
        <w:jc w:val="both"/>
        <w:rPr>
          <w:color w:val="000000"/>
        </w:rPr>
      </w:pPr>
    </w:p>
    <w:p w:rsidR="00E76DD7" w:rsidRDefault="00E76DD7" w:rsidP="00E76DD7">
      <w:pPr>
        <w:tabs>
          <w:tab w:val="left" w:pos="1485"/>
        </w:tabs>
        <w:ind w:firstLine="709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50" w:type="dxa"/>
        <w:tblInd w:w="-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93"/>
        <w:gridCol w:w="8657"/>
      </w:tblGrid>
      <w:tr w:rsidR="00E76DD7" w:rsidTr="00E76DD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76DD7" w:rsidTr="00E76DD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DD7" w:rsidRDefault="00E76DD7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Владение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 (ПК-6);</w:t>
            </w:r>
          </w:p>
        </w:tc>
      </w:tr>
      <w:tr w:rsidR="00E76DD7" w:rsidTr="00E76DD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DD7" w:rsidRDefault="00E76DD7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(ПК-12);</w:t>
            </w:r>
          </w:p>
        </w:tc>
      </w:tr>
      <w:tr w:rsidR="00E76DD7" w:rsidTr="00E76DD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DD7" w:rsidRDefault="00E76DD7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Уметь оценивать соотношение планируемого результата и затрачиваемых ресурсов (ПК-22);</w:t>
            </w:r>
          </w:p>
        </w:tc>
      </w:tr>
      <w:tr w:rsidR="00E76DD7" w:rsidTr="00E76DD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DD7" w:rsidRDefault="00E76DD7">
            <w:pPr>
              <w:pStyle w:val="Style9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Владение навыками планирования и организации деятельности органов государственной власти РФ, органов государственной власти  субъектов РФ, органов местного самоуправления, государственных и муниципальных предприятий и учреждений, политических партий, коммерческих и некоммерческих организаций (ПК-23)</w:t>
            </w:r>
          </w:p>
        </w:tc>
      </w:tr>
    </w:tbl>
    <w:p w:rsidR="00E76DD7" w:rsidRDefault="00E76DD7" w:rsidP="00E76DD7">
      <w:pPr>
        <w:jc w:val="center"/>
        <w:rPr>
          <w:rFonts w:cs="Times New Roman"/>
          <w:b/>
          <w:sz w:val="24"/>
          <w:szCs w:val="24"/>
        </w:rPr>
      </w:pPr>
    </w:p>
    <w:p w:rsidR="00270C20" w:rsidRPr="00105DFE" w:rsidRDefault="00270C20" w:rsidP="00270C20">
      <w:pPr>
        <w:spacing w:before="120" w:after="12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2503DA">
        <w:rPr>
          <w:rFonts w:eastAsia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</w:t>
      </w:r>
      <w:r>
        <w:rPr>
          <w:rFonts w:eastAsia="Times New Roman" w:cs="Times New Roman"/>
          <w:b/>
          <w:sz w:val="24"/>
          <w:szCs w:val="24"/>
          <w:lang w:eastAsia="ru-RU"/>
        </w:rPr>
        <w:t>учебному плану направления</w:t>
      </w:r>
      <w:r w:rsidRPr="002503DA">
        <w:rPr>
          <w:rFonts w:eastAsia="Times New Roman" w:cs="Times New Roman"/>
          <w:b/>
          <w:sz w:val="24"/>
          <w:szCs w:val="24"/>
          <w:lang w:eastAsia="ru-RU"/>
        </w:rPr>
        <w:t xml:space="preserve"> подготовки 38.03.04 Государственное и муниципальное управление</w:t>
      </w:r>
    </w:p>
    <w:p w:rsidR="00E76DD7" w:rsidRDefault="00E76DD7" w:rsidP="00E76DD7">
      <w:pPr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4"/>
        <w:gridCol w:w="4961"/>
      </w:tblGrid>
      <w:tr w:rsidR="00270C20" w:rsidTr="009A468C"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C20" w:rsidRDefault="00270C20">
            <w:pPr>
              <w:ind w:right="-95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20" w:rsidRDefault="00270C20">
            <w:pPr>
              <w:tabs>
                <w:tab w:val="left" w:pos="1485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Форма обучения</w:t>
            </w:r>
          </w:p>
          <w:p w:rsidR="00270C20" w:rsidRDefault="00270C20">
            <w:pPr>
              <w:tabs>
                <w:tab w:val="left" w:pos="1485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</w:tr>
      <w:tr w:rsidR="00270C20" w:rsidTr="009A468C">
        <w:trPr>
          <w:trHeight w:val="562"/>
        </w:trPr>
        <w:tc>
          <w:tcPr>
            <w:tcW w:w="4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20" w:rsidRDefault="00270C20">
            <w:pPr>
              <w:ind w:right="-959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20" w:rsidRDefault="00270C20">
            <w:pPr>
              <w:tabs>
                <w:tab w:val="left" w:pos="1485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Программа подготовки</w:t>
            </w:r>
          </w:p>
          <w:p w:rsidR="00270C20" w:rsidRDefault="00270C20" w:rsidP="00EC28DE">
            <w:pPr>
              <w:tabs>
                <w:tab w:val="left" w:pos="1485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Полная</w:t>
            </w:r>
          </w:p>
        </w:tc>
      </w:tr>
      <w:tr w:rsidR="00E76DD7" w:rsidTr="00975179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t>44</w:t>
            </w:r>
          </w:p>
        </w:tc>
      </w:tr>
      <w:tr w:rsidR="00E76DD7" w:rsidTr="0020174B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 том числе:</w:t>
            </w:r>
          </w:p>
          <w:p w:rsidR="00E76DD7" w:rsidRDefault="00E76DD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1.1. Лекции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t>22</w:t>
            </w:r>
          </w:p>
        </w:tc>
      </w:tr>
      <w:tr w:rsidR="00E76DD7" w:rsidTr="002C2550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-</w:t>
            </w:r>
          </w:p>
        </w:tc>
      </w:tr>
      <w:tr w:rsidR="00E76DD7" w:rsidTr="009B317F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t>22</w:t>
            </w:r>
          </w:p>
        </w:tc>
      </w:tr>
      <w:tr w:rsidR="00E76DD7" w:rsidTr="00354C32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t>64</w:t>
            </w:r>
          </w:p>
        </w:tc>
      </w:tr>
      <w:tr w:rsidR="00E76DD7" w:rsidTr="00395091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t>108</w:t>
            </w:r>
          </w:p>
        </w:tc>
      </w:tr>
      <w:tr w:rsidR="00E76DD7" w:rsidTr="004B6BCD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DD7" w:rsidRDefault="00E76DD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t>3</w:t>
            </w:r>
          </w:p>
        </w:tc>
      </w:tr>
    </w:tbl>
    <w:p w:rsidR="00E76DD7" w:rsidRDefault="00E76DD7" w:rsidP="00E76DD7">
      <w:pPr>
        <w:pStyle w:val="a3"/>
        <w:ind w:left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Формы промежуточной аттестации: экзамен</w:t>
      </w:r>
      <w:r>
        <w:rPr>
          <w:rFonts w:cs="Times New Roman"/>
          <w:bCs/>
          <w:sz w:val="24"/>
          <w:szCs w:val="24"/>
        </w:rPr>
        <w:t>.</w:t>
      </w:r>
    </w:p>
    <w:p w:rsidR="00E76DD7" w:rsidRDefault="00E76DD7" w:rsidP="00E76DD7">
      <w:pPr>
        <w:pStyle w:val="a3"/>
        <w:ind w:left="0"/>
        <w:outlineLvl w:val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Перечень изучаемых тем (основных):</w:t>
      </w:r>
    </w:p>
    <w:p w:rsidR="00E76DD7" w:rsidRDefault="00E76DD7" w:rsidP="00E76DD7">
      <w:pPr>
        <w:pStyle w:val="a3"/>
        <w:ind w:left="0"/>
        <w:jc w:val="center"/>
        <w:outlineLvl w:val="0"/>
        <w:rPr>
          <w:sz w:val="22"/>
          <w:szCs w:val="22"/>
        </w:rPr>
      </w:pP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jc w:val="both"/>
        <w:rPr>
          <w:color w:val="000000"/>
        </w:rPr>
      </w:pPr>
      <w:r>
        <w:rPr>
          <w:color w:val="000000"/>
        </w:rPr>
        <w:t>Сущность, содержание, закономерности, принципы и функции прогнозирования  и планирования.</w:t>
      </w: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jc w:val="both"/>
        <w:rPr>
          <w:color w:val="000000"/>
        </w:rPr>
      </w:pPr>
      <w:r>
        <w:rPr>
          <w:color w:val="000000"/>
        </w:rPr>
        <w:t>Основные методы прогнозирования</w:t>
      </w: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jc w:val="both"/>
        <w:rPr>
          <w:color w:val="000000"/>
        </w:rPr>
      </w:pPr>
      <w:r>
        <w:rPr>
          <w:color w:val="000000"/>
        </w:rPr>
        <w:t>Система и структура государственных программ и прогнозов, порядок их разработки</w:t>
      </w: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jc w:val="both"/>
        <w:rPr>
          <w:color w:val="000000"/>
        </w:rPr>
      </w:pPr>
      <w:r>
        <w:rPr>
          <w:color w:val="000000"/>
        </w:rPr>
        <w:t>Прогнозирование научно-технического прогресса</w:t>
      </w: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jc w:val="both"/>
        <w:rPr>
          <w:color w:val="000000"/>
        </w:rPr>
      </w:pPr>
      <w:r>
        <w:rPr>
          <w:color w:val="000000"/>
        </w:rPr>
        <w:t>Прогнозирование и стратегическое планирование в условиях рыночных отношений</w:t>
      </w: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jc w:val="both"/>
        <w:rPr>
          <w:color w:val="000000"/>
        </w:rPr>
      </w:pPr>
      <w:r>
        <w:rPr>
          <w:color w:val="000000"/>
        </w:rPr>
        <w:t>Прогнозирование и планирование сфер и отраслей агропромышленного комплекса.</w:t>
      </w: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jc w:val="both"/>
        <w:rPr>
          <w:color w:val="000000"/>
        </w:rPr>
      </w:pPr>
      <w:r>
        <w:rPr>
          <w:color w:val="000000"/>
        </w:rPr>
        <w:t>Прогнозирование и планирование инвестиций</w:t>
      </w: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jc w:val="both"/>
        <w:rPr>
          <w:color w:val="000000"/>
        </w:rPr>
      </w:pPr>
      <w:r>
        <w:rPr>
          <w:color w:val="000000"/>
        </w:rPr>
        <w:t>Прогнозирование социального развития</w:t>
      </w:r>
    </w:p>
    <w:p w:rsidR="00E76DD7" w:rsidRDefault="00E76DD7" w:rsidP="00E76DD7">
      <w:pPr>
        <w:pStyle w:val="Style7"/>
        <w:widowControl/>
        <w:numPr>
          <w:ilvl w:val="0"/>
          <w:numId w:val="1"/>
        </w:numPr>
        <w:tabs>
          <w:tab w:val="left" w:pos="0"/>
        </w:tabs>
        <w:spacing w:line="240" w:lineRule="auto"/>
        <w:ind w:firstLine="426"/>
        <w:rPr>
          <w:color w:val="000000"/>
        </w:rPr>
      </w:pPr>
      <w:r>
        <w:rPr>
          <w:color w:val="000000"/>
        </w:rPr>
        <w:t>Оценка эффективности планов и прогнозов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5248B"/>
    <w:multiLevelType w:val="singleLevel"/>
    <w:tmpl w:val="66962404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6DD7"/>
    <w:rsid w:val="001D1706"/>
    <w:rsid w:val="00270C20"/>
    <w:rsid w:val="005522F8"/>
    <w:rsid w:val="00C4642C"/>
    <w:rsid w:val="00C72649"/>
    <w:rsid w:val="00D35FA3"/>
    <w:rsid w:val="00D85D79"/>
    <w:rsid w:val="00E76DD7"/>
    <w:rsid w:val="00EA338B"/>
    <w:rsid w:val="00EE5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DD7"/>
    <w:pPr>
      <w:suppressAutoHyphens/>
      <w:spacing w:line="240" w:lineRule="auto"/>
      <w:ind w:firstLine="0"/>
    </w:pPr>
    <w:rPr>
      <w:rFonts w:eastAsia="Lucida Sans Unicode" w:cs="Mangal"/>
      <w:kern w:val="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76DD7"/>
    <w:pPr>
      <w:ind w:left="283" w:firstLine="709"/>
    </w:pPr>
    <w:rPr>
      <w:rFonts w:eastAsia="Times New Roman"/>
    </w:rPr>
  </w:style>
  <w:style w:type="character" w:customStyle="1" w:styleId="a4">
    <w:name w:val="Основной текст с отступом Знак"/>
    <w:basedOn w:val="a0"/>
    <w:link w:val="a3"/>
    <w:semiHidden/>
    <w:rsid w:val="00E76DD7"/>
    <w:rPr>
      <w:rFonts w:eastAsia="Times New Roman" w:cs="Mangal"/>
      <w:kern w:val="2"/>
      <w:lang w:eastAsia="hi-IN" w:bidi="hi-IN"/>
    </w:rPr>
  </w:style>
  <w:style w:type="paragraph" w:customStyle="1" w:styleId="Style9">
    <w:name w:val="Style9"/>
    <w:basedOn w:val="a"/>
    <w:uiPriority w:val="99"/>
    <w:rsid w:val="00E76DD7"/>
    <w:pPr>
      <w:widowControl w:val="0"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szCs w:val="24"/>
      <w:lang w:eastAsia="ru-RU" w:bidi="ar-SA"/>
    </w:rPr>
  </w:style>
  <w:style w:type="paragraph" w:customStyle="1" w:styleId="Style10">
    <w:name w:val="Style10"/>
    <w:basedOn w:val="a"/>
    <w:uiPriority w:val="99"/>
    <w:rsid w:val="00E76DD7"/>
    <w:pPr>
      <w:widowControl w:val="0"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szCs w:val="24"/>
      <w:lang w:eastAsia="ru-RU" w:bidi="ar-SA"/>
    </w:rPr>
  </w:style>
  <w:style w:type="paragraph" w:customStyle="1" w:styleId="Style7">
    <w:name w:val="Style7"/>
    <w:basedOn w:val="a"/>
    <w:uiPriority w:val="99"/>
    <w:rsid w:val="00E76DD7"/>
    <w:pPr>
      <w:widowControl w:val="0"/>
      <w:suppressAutoHyphens w:val="0"/>
      <w:autoSpaceDE w:val="0"/>
      <w:autoSpaceDN w:val="0"/>
      <w:adjustRightInd w:val="0"/>
      <w:spacing w:line="274" w:lineRule="exact"/>
      <w:ind w:hanging="691"/>
      <w:jc w:val="left"/>
    </w:pPr>
    <w:rPr>
      <w:rFonts w:eastAsia="Times New Roman" w:cs="Times New Roman"/>
      <w:kern w:val="0"/>
      <w:sz w:val="24"/>
      <w:szCs w:val="24"/>
      <w:lang w:eastAsia="ru-RU" w:bidi="ar-SA"/>
    </w:rPr>
  </w:style>
  <w:style w:type="paragraph" w:customStyle="1" w:styleId="Style4">
    <w:name w:val="Style4"/>
    <w:basedOn w:val="a"/>
    <w:uiPriority w:val="99"/>
    <w:rsid w:val="00E76DD7"/>
    <w:pPr>
      <w:widowControl w:val="0"/>
      <w:suppressAutoHyphens w:val="0"/>
      <w:autoSpaceDE w:val="0"/>
      <w:autoSpaceDN w:val="0"/>
      <w:adjustRightInd w:val="0"/>
      <w:spacing w:line="290" w:lineRule="exact"/>
      <w:jc w:val="center"/>
    </w:pPr>
    <w:rPr>
      <w:rFonts w:eastAsia="Times New Roman" w:cs="Times New Roman"/>
      <w:kern w:val="0"/>
      <w:sz w:val="24"/>
      <w:szCs w:val="24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2016-10-07T08:01:00Z</dcterms:created>
  <dcterms:modified xsi:type="dcterms:W3CDTF">2016-10-12T09:47:00Z</dcterms:modified>
</cp:coreProperties>
</file>