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tabs>
          <w:tab w:leader="none" w:pos="1485" w:val="left"/>
        </w:tabs>
        <w:spacing w:after="0" w:before="0" w:line="100" w:lineRule="atLeast"/>
        <w:contextualSpacing w:val="false"/>
        <w:jc w:val="center"/>
      </w:pPr>
      <w:r>
        <w:rPr>
          <w:rFonts w:ascii="Times New Roman" w:cs="Times New Roman" w:hAnsi="Times New Roman"/>
          <w:sz w:val="28"/>
          <w:szCs w:val="28"/>
        </w:rPr>
        <w:t>Аннотация дисциплины</w:t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rFonts w:ascii="Times New Roman" w:cs="Times New Roman" w:hAnsi="Times New Roman"/>
          <w:sz w:val="28"/>
          <w:szCs w:val="28"/>
        </w:rPr>
        <w:t>«</w:t>
      </w:r>
      <w:bookmarkStart w:id="0" w:name="_GoBack"/>
      <w:r>
        <w:rPr>
          <w:rFonts w:ascii="Times New Roman" w:cs="Times New Roman" w:hAnsi="Times New Roman"/>
          <w:sz w:val="28"/>
          <w:szCs w:val="28"/>
        </w:rPr>
        <w:t>Культура речи и деловое общение</w:t>
      </w:r>
      <w:bookmarkEnd w:id="0"/>
      <w:r>
        <w:rPr>
          <w:rFonts w:ascii="Times New Roman" w:cs="Times New Roman" w:hAnsi="Times New Roman"/>
          <w:sz w:val="28"/>
          <w:szCs w:val="28"/>
        </w:rPr>
        <w:t>»</w:t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rFonts w:ascii="Times New Roman" w:cs="Times New Roman" w:hAnsi="Times New Roman"/>
          <w:sz w:val="28"/>
          <w:szCs w:val="28"/>
        </w:rPr>
        <w:t>для направления подготовки</w:t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rFonts w:ascii="Times New Roman" w:cs="Times New Roman" w:hAnsi="Times New Roman"/>
          <w:b/>
          <w:sz w:val="28"/>
          <w:szCs w:val="28"/>
        </w:rPr>
        <w:t>38.03.07. Товароведение</w:t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/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before="0" w:line="100" w:lineRule="atLeast"/>
        <w:ind w:firstLine="709" w:left="357" w:right="0"/>
        <w:contextualSpacing w:val="false"/>
        <w:jc w:val="both"/>
      </w:pPr>
      <w:r>
        <w:rPr>
          <w:rFonts w:ascii="Times New Roman" w:hAnsi="Times New Roman"/>
          <w:sz w:val="28"/>
          <w:szCs w:val="28"/>
        </w:rPr>
        <w:t xml:space="preserve">Целью освоения дисциплины «Культура делового общения» является </w:t>
      </w:r>
      <w:r>
        <w:rPr>
          <w:rStyle w:val="style17"/>
          <w:rFonts w:eastAsia="Times New Roman"/>
          <w:color w:val="000000"/>
          <w:sz w:val="28"/>
          <w:szCs w:val="28"/>
        </w:rPr>
        <w:t xml:space="preserve">повышение уровня речевой культуры будущих выпускников в процессе развития и совершенствования коммуникативно-речевых умений. </w:t>
      </w:r>
      <w:r>
        <w:rPr>
          <w:rFonts w:ascii="Times New Roman" w:eastAsia="Times New Roman" w:hAnsi="Times New Roman"/>
          <w:bCs/>
          <w:sz w:val="28"/>
          <w:szCs w:val="28"/>
        </w:rPr>
        <w:t>Дисциплина направлена на совершенствование навыков письменной и устной речи и формирование культуры делового общения.</w:t>
      </w:r>
    </w:p>
    <w:p>
      <w:pPr>
        <w:pStyle w:val="style0"/>
        <w:tabs>
          <w:tab w:leader="none" w:pos="1485" w:val="left"/>
        </w:tabs>
        <w:spacing w:after="0" w:before="0" w:line="100" w:lineRule="atLeast"/>
        <w:contextualSpacing w:val="false"/>
        <w:jc w:val="center"/>
      </w:pPr>
      <w:r>
        <w:rPr>
          <w:rFonts w:ascii="Times New Roman" w:cs="Times New Roman" w:hAnsi="Times New Roman"/>
          <w:sz w:val="28"/>
          <w:szCs w:val="28"/>
          <w:u w:val="single"/>
        </w:rPr>
      </w:r>
    </w:p>
    <w:p>
      <w:pPr>
        <w:pStyle w:val="style0"/>
        <w:tabs>
          <w:tab w:leader="none" w:pos="1485" w:val="left"/>
        </w:tabs>
        <w:spacing w:after="0" w:before="0" w:line="100" w:lineRule="atLeast"/>
        <w:ind w:firstLine="709" w:left="0" w:right="0"/>
        <w:contextualSpacing w:val="false"/>
        <w:jc w:val="both"/>
      </w:pPr>
      <w:r>
        <w:rPr>
          <w:rFonts w:ascii="Times New Roman" w:cs="Times New Roman" w:hAnsi="Times New Roman"/>
          <w:sz w:val="28"/>
          <w:szCs w:val="28"/>
        </w:rPr>
        <w:t>Освоение данной дисциплины направлено на формирование следующих компетенций:</w:t>
      </w:r>
    </w:p>
    <w:tbl>
      <w:tblPr>
        <w:jc w:val="left"/>
        <w:tblInd w:type="dxa" w:w="0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85"/>
          <w:bottom w:type="dxa" w:w="0"/>
          <w:right w:type="dxa" w:w="85"/>
        </w:tblCellMar>
      </w:tblPr>
      <w:tblGrid>
        <w:gridCol w:w="1361"/>
        <w:gridCol w:w="8083"/>
      </w:tblGrid>
      <w:tr>
        <w:trPr>
          <w:trHeight w:hRule="exact" w:val="278"/>
          <w:cantSplit w:val="false"/>
        </w:trPr>
        <w:tc>
          <w:tcPr>
            <w:tcW w:type="dxa" w:w="1361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85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</w:pPr>
            <w:r>
              <w:rPr>
                <w:rFonts w:ascii="Times New Roman" w:cs="Times New Roman" w:hAnsi="Times New Roman"/>
                <w:bCs/>
                <w:iCs/>
                <w:sz w:val="28"/>
                <w:szCs w:val="28"/>
              </w:rPr>
              <w:t xml:space="preserve">№ </w:t>
            </w:r>
            <w:r>
              <w:rPr>
                <w:rFonts w:ascii="Times New Roman" w:cs="Times New Roman" w:hAnsi="Times New Roman"/>
                <w:bCs/>
                <w:iCs/>
                <w:sz w:val="28"/>
                <w:szCs w:val="28"/>
              </w:rPr>
              <w:t>п/п</w:t>
            </w:r>
          </w:p>
        </w:tc>
        <w:tc>
          <w:tcPr>
            <w:tcW w:type="dxa" w:w="8083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85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</w:pPr>
            <w:r>
              <w:rPr>
                <w:rFonts w:ascii="Times New Roman" w:cs="Times New Roman" w:hAnsi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>
        <w:trPr>
          <w:trHeight w:hRule="atLeast" w:val="537"/>
          <w:cantSplit w:val="false"/>
        </w:trPr>
        <w:tc>
          <w:tcPr>
            <w:tcW w:type="dxa" w:w="1361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85"/>
            </w:tcMar>
            <w:vAlign w:val="center"/>
          </w:tcPr>
          <w:p>
            <w:pPr>
              <w:pStyle w:val="style0"/>
              <w:spacing w:after="0" w:before="0"/>
              <w:contextualSpacing w:val="false"/>
            </w:pPr>
            <w:r>
              <w:rPr>
                <w:rFonts w:ascii="Times New Roman" w:cs="Times New Roman" w:hAnsi="Times New Roman"/>
                <w:bCs/>
                <w:iCs/>
                <w:sz w:val="28"/>
                <w:szCs w:val="28"/>
              </w:rPr>
            </w:r>
          </w:p>
        </w:tc>
        <w:tc>
          <w:tcPr>
            <w:tcW w:type="dxa" w:w="8083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85"/>
            </w:tcMar>
            <w:vAlign w:val="center"/>
          </w:tcPr>
          <w:p>
            <w:pPr>
              <w:pStyle w:val="style0"/>
              <w:spacing w:after="0" w:before="0"/>
              <w:contextualSpacing w:val="false"/>
            </w:pPr>
            <w:r>
              <w:rPr>
                <w:rFonts w:ascii="Times New Roman" w:cs="Times New Roman" w:hAnsi="Times New Roman"/>
                <w:bCs/>
                <w:iCs/>
                <w:sz w:val="28"/>
                <w:szCs w:val="28"/>
              </w:rPr>
            </w:r>
          </w:p>
        </w:tc>
      </w:tr>
      <w:tr>
        <w:trPr>
          <w:trHeight w:hRule="atLeast" w:val="370"/>
          <w:cantSplit w:val="false"/>
        </w:trPr>
        <w:tc>
          <w:tcPr>
            <w:tcW w:type="dxa" w:w="1361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85"/>
            </w:tcMar>
            <w:vAlign w:val="center"/>
          </w:tcPr>
          <w:p>
            <w:pPr>
              <w:pStyle w:val="style0"/>
              <w:spacing w:after="0" w:before="0"/>
              <w:contextualSpacing w:val="false"/>
            </w:pPr>
            <w:r>
              <w:rPr>
                <w:rFonts w:ascii="Times New Roman" w:cs="Times New Roman" w:hAnsi="Times New Roman"/>
                <w:bCs/>
                <w:iCs/>
                <w:sz w:val="28"/>
                <w:szCs w:val="28"/>
              </w:rPr>
            </w:r>
          </w:p>
        </w:tc>
        <w:tc>
          <w:tcPr>
            <w:tcW w:type="dxa" w:w="8083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85"/>
            </w:tcMar>
            <w:vAlign w:val="center"/>
          </w:tcPr>
          <w:p>
            <w:pPr>
              <w:pStyle w:val="style0"/>
              <w:spacing w:after="0" w:before="0"/>
              <w:contextualSpacing w:val="false"/>
            </w:pPr>
            <w:r>
              <w:rPr>
                <w:rFonts w:ascii="Times New Roman" w:cs="Times New Roman" w:hAnsi="Times New Roman"/>
                <w:bCs/>
                <w:iCs/>
                <w:sz w:val="28"/>
                <w:szCs w:val="28"/>
              </w:rPr>
            </w:r>
          </w:p>
        </w:tc>
      </w:tr>
      <w:tr>
        <w:trPr>
          <w:trHeight w:hRule="atLeast" w:val="270"/>
          <w:cantSplit w:val="false"/>
        </w:trPr>
        <w:tc>
          <w:tcPr>
            <w:tcW w:type="dxa" w:w="1361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85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both"/>
            </w:pPr>
            <w:r>
              <w:rPr>
                <w:rFonts w:ascii="Times New Roman" w:cs="Times New Roman" w:hAnsi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type="dxa" w:w="808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85"/>
            </w:tcMar>
          </w:tcPr>
          <w:p>
            <w:pPr>
              <w:pStyle w:val="style26"/>
              <w:shd w:fill="FFFFFF" w:val="clear"/>
              <w:spacing w:after="0" w:before="0" w:line="100" w:lineRule="atLeast"/>
              <w:ind w:hanging="0" w:left="20" w:right="40"/>
              <w:contextualSpacing w:val="false"/>
              <w:jc w:val="both"/>
            </w:pPr>
            <w:r>
              <w:rPr>
                <w:sz w:val="28"/>
                <w:szCs w:val="28"/>
              </w:rPr>
              <w:t>ОК-5: Способностью к коммуникации в устной и письменной формах на русском</w:t>
            </w:r>
            <w:r>
              <w:rPr>
                <w:color w:val="000000"/>
                <w:sz w:val="28"/>
                <w:szCs w:val="28"/>
              </w:rPr>
              <w:t xml:space="preserve"> и иностранном языках</w:t>
            </w:r>
            <w:r>
              <w:rPr>
                <w:sz w:val="28"/>
                <w:szCs w:val="28"/>
              </w:rPr>
              <w:t xml:space="preserve"> для решения задач межличностного и межкультурного взаимодействия</w:t>
            </w:r>
          </w:p>
        </w:tc>
      </w:tr>
    </w:tbl>
    <w:p>
      <w:pPr>
        <w:pStyle w:val="style0"/>
        <w:tabs>
          <w:tab w:leader="none" w:pos="1485" w:val="left"/>
        </w:tabs>
        <w:spacing w:after="0" w:before="0" w:line="100" w:lineRule="atLeast"/>
        <w:contextualSpacing w:val="false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tabs>
          <w:tab w:leader="none" w:pos="1485" w:val="left"/>
        </w:tabs>
        <w:spacing w:after="0" w:before="0" w:line="100" w:lineRule="atLeast"/>
        <w:contextualSpacing w:val="false"/>
      </w:pPr>
      <w:r>
        <w:rPr>
          <w:rFonts w:ascii="Times New Roman" w:cs="Times New Roman" w:hAnsi="Times New Roman"/>
          <w:sz w:val="28"/>
          <w:szCs w:val="28"/>
        </w:rPr>
      </w:r>
    </w:p>
    <w:p>
      <w:pPr>
        <w:pStyle w:val="style0"/>
        <w:tabs>
          <w:tab w:leader="none" w:pos="1485" w:val="left"/>
        </w:tabs>
        <w:spacing w:after="0" w:before="0" w:line="100" w:lineRule="atLeast"/>
        <w:ind w:firstLine="709" w:left="0" w:right="0"/>
        <w:contextualSpacing w:val="false"/>
      </w:pPr>
      <w:r>
        <w:rPr>
          <w:rFonts w:ascii="Times New Roman" w:cs="Times New Roman" w:hAnsi="Times New Roman"/>
          <w:sz w:val="28"/>
          <w:szCs w:val="28"/>
        </w:rPr>
        <w:t xml:space="preserve">Трудоемкость дисциплины, реализуемой по учебному плану </w:t>
      </w:r>
    </w:p>
    <w:p>
      <w:pPr>
        <w:pStyle w:val="style0"/>
        <w:tabs>
          <w:tab w:leader="none" w:pos="1485" w:val="left"/>
        </w:tabs>
        <w:spacing w:after="0" w:before="0" w:line="100" w:lineRule="atLeast"/>
        <w:ind w:firstLine="709" w:left="0" w:right="0"/>
        <w:contextualSpacing w:val="false"/>
      </w:pPr>
      <w:r>
        <w:rPr>
          <w:rFonts w:ascii="Times New Roman" w:cs="Times New Roman" w:hAnsi="Times New Roman"/>
          <w:sz w:val="28"/>
          <w:szCs w:val="28"/>
        </w:rPr>
      </w:r>
    </w:p>
    <w:tbl>
      <w:tblPr>
        <w:jc w:val="left"/>
        <w:tblInd w:type="dxa" w:w="0"/>
        <w:tblBorders>
          <w:top w:color="00000A" w:space="0" w:sz="4" w:val="single"/>
          <w:left w:color="00000A" w:space="0" w:sz="4" w:val="single"/>
          <w:bottom w:color="00000A" w:space="0" w:sz="4" w:val="single"/>
          <w:insideH w:color="00000A" w:space="0" w:sz="4" w:val="single"/>
          <w:right w:color="00000A" w:space="0" w:sz="4" w:val="single"/>
          <w:insideV w:color="00000A" w:space="0" w:sz="4" w:val="single"/>
        </w:tblBorders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85"/>
        <w:gridCol w:w="4779"/>
      </w:tblGrid>
      <w:tr>
        <w:trPr>
          <w:cantSplit w:val="false"/>
        </w:trPr>
        <w:tc>
          <w:tcPr>
            <w:tcW w:type="dxa" w:w="4685"/>
            <w:vMerge w:val="restart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Вид занятий</w:t>
            </w:r>
          </w:p>
        </w:tc>
        <w:tc>
          <w:tcPr>
            <w:tcW w:type="dxa" w:w="4779"/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Форма обучения</w:t>
            </w:r>
          </w:p>
        </w:tc>
      </w:tr>
      <w:tr>
        <w:trPr>
          <w:cantSplit w:val="false"/>
        </w:trPr>
        <w:tc>
          <w:tcPr>
            <w:tcW w:type="dxa" w:w="4685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  <w:tc>
          <w:tcPr>
            <w:tcW w:type="dxa" w:w="222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type="dxa" w:w="2555"/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заочная</w:t>
            </w:r>
          </w:p>
        </w:tc>
      </w:tr>
      <w:tr>
        <w:trPr>
          <w:cantSplit w:val="false"/>
        </w:trPr>
        <w:tc>
          <w:tcPr>
            <w:tcW w:type="dxa" w:w="4685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  <w:tc>
          <w:tcPr>
            <w:tcW w:type="dxa" w:w="4779"/>
            <w:gridSpan w:val="3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программа подготовки</w:t>
            </w:r>
          </w:p>
        </w:tc>
      </w:tr>
      <w:tr>
        <w:trPr>
          <w:cantSplit w:val="false"/>
        </w:trPr>
        <w:tc>
          <w:tcPr>
            <w:tcW w:type="dxa" w:w="4685"/>
            <w:vMerge w:val="continue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  <w:vAlign w:val="center"/>
          </w:tcPr>
          <w:p>
            <w:pPr>
              <w:pStyle w:val="style0"/>
              <w:spacing w:after="0" w:before="0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  <w:tc>
          <w:tcPr>
            <w:tcW w:type="dxa" w:w="222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полная</w:t>
            </w:r>
          </w:p>
        </w:tc>
        <w:tc>
          <w:tcPr>
            <w:tcW w:type="dxa" w:w="156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полная</w:t>
            </w:r>
          </w:p>
        </w:tc>
        <w:tc>
          <w:tcPr>
            <w:tcW w:type="dxa" w:w="9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ускоренная</w:t>
            </w:r>
          </w:p>
        </w:tc>
      </w:tr>
      <w:tr>
        <w:trPr>
          <w:cantSplit w:val="false"/>
        </w:trPr>
        <w:tc>
          <w:tcPr>
            <w:tcW w:type="dxa" w:w="468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1. Аудиторные занятия, всего</w:t>
            </w:r>
          </w:p>
        </w:tc>
        <w:tc>
          <w:tcPr>
            <w:tcW w:type="dxa" w:w="222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44</w:t>
            </w:r>
          </w:p>
        </w:tc>
        <w:tc>
          <w:tcPr>
            <w:tcW w:type="dxa" w:w="156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  <w:tc>
          <w:tcPr>
            <w:tcW w:type="dxa" w:w="9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</w:tr>
      <w:tr>
        <w:trPr>
          <w:cantSplit w:val="false"/>
        </w:trPr>
        <w:tc>
          <w:tcPr>
            <w:tcW w:type="dxa" w:w="468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 том числе:</w:t>
            </w:r>
          </w:p>
          <w:p>
            <w:pPr>
              <w:pStyle w:val="style0"/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1.1. Лекции</w:t>
            </w:r>
          </w:p>
        </w:tc>
        <w:tc>
          <w:tcPr>
            <w:tcW w:type="dxa" w:w="222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6</w:t>
            </w:r>
          </w:p>
        </w:tc>
        <w:tc>
          <w:tcPr>
            <w:tcW w:type="dxa" w:w="156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  <w:tc>
          <w:tcPr>
            <w:tcW w:type="dxa" w:w="9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</w:tr>
      <w:tr>
        <w:trPr>
          <w:cantSplit w:val="false"/>
        </w:trPr>
        <w:tc>
          <w:tcPr>
            <w:tcW w:type="dxa" w:w="468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type="dxa" w:w="222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  <w:tc>
          <w:tcPr>
            <w:tcW w:type="dxa" w:w="156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  <w:tc>
          <w:tcPr>
            <w:tcW w:type="dxa" w:w="9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</w:tr>
      <w:tr>
        <w:trPr>
          <w:cantSplit w:val="false"/>
        </w:trPr>
        <w:tc>
          <w:tcPr>
            <w:tcW w:type="dxa" w:w="468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type="dxa" w:w="222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8</w:t>
            </w:r>
          </w:p>
        </w:tc>
        <w:tc>
          <w:tcPr>
            <w:tcW w:type="dxa" w:w="156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  <w:tc>
          <w:tcPr>
            <w:tcW w:type="dxa" w:w="9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</w:tr>
      <w:tr>
        <w:trPr>
          <w:cantSplit w:val="false"/>
        </w:trPr>
        <w:tc>
          <w:tcPr>
            <w:tcW w:type="dxa" w:w="468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type="dxa" w:w="222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64</w:t>
            </w:r>
          </w:p>
        </w:tc>
        <w:tc>
          <w:tcPr>
            <w:tcW w:type="dxa" w:w="156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  <w:tc>
          <w:tcPr>
            <w:tcW w:type="dxa" w:w="9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</w:tr>
      <w:tr>
        <w:trPr>
          <w:cantSplit w:val="false"/>
        </w:trPr>
        <w:tc>
          <w:tcPr>
            <w:tcW w:type="dxa" w:w="468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type="dxa" w:w="222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108</w:t>
            </w:r>
          </w:p>
        </w:tc>
        <w:tc>
          <w:tcPr>
            <w:tcW w:type="dxa" w:w="156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  <w:tc>
          <w:tcPr>
            <w:tcW w:type="dxa" w:w="9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</w:tr>
      <w:tr>
        <w:trPr>
          <w:cantSplit w:val="false"/>
        </w:trPr>
        <w:tc>
          <w:tcPr>
            <w:tcW w:type="dxa" w:w="468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type="dxa" w:w="2224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3</w:t>
            </w:r>
          </w:p>
        </w:tc>
        <w:tc>
          <w:tcPr>
            <w:tcW w:type="dxa" w:w="1560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  <w:jc w:val="center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  <w:tc>
          <w:tcPr>
            <w:tcW w:type="dxa" w:w="995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shd w:fill="auto" w:val="clear"/>
            <w:tcMar>
              <w:left w:type="dxa" w:w="108"/>
            </w:tcMar>
          </w:tcPr>
          <w:p>
            <w:pPr>
              <w:pStyle w:val="style0"/>
              <w:tabs>
                <w:tab w:leader="none" w:pos="1485" w:val="left"/>
              </w:tabs>
              <w:spacing w:after="0" w:before="0" w:line="100" w:lineRule="atLeast"/>
              <w:contextualSpacing w:val="false"/>
            </w:pPr>
            <w:r>
              <w:rPr>
                <w:rFonts w:ascii="Times New Roman" w:cs="Times New Roman" w:hAnsi="Times New Roman"/>
                <w:sz w:val="28"/>
                <w:szCs w:val="28"/>
              </w:rPr>
            </w:r>
          </w:p>
        </w:tc>
      </w:tr>
    </w:tbl>
    <w:p>
      <w:pPr>
        <w:pStyle w:val="style0"/>
        <w:spacing w:after="0" w:before="0" w:line="100" w:lineRule="atLeast"/>
        <w:contextualSpacing w:val="false"/>
      </w:pPr>
      <w:r>
        <w:rPr>
          <w:rFonts w:cs="Times New Roman"/>
          <w:sz w:val="28"/>
          <w:szCs w:val="28"/>
        </w:rPr>
      </w:r>
    </w:p>
    <w:p>
      <w:pPr>
        <w:pStyle w:val="style0"/>
        <w:tabs>
          <w:tab w:leader="none" w:pos="1485" w:val="left"/>
        </w:tabs>
        <w:ind w:firstLine="709" w:left="0" w:right="0"/>
      </w:pPr>
      <w:r>
        <w:rPr>
          <w:rFonts w:ascii="Times New Roman" w:cs="Times New Roman" w:hAnsi="Times New Roman"/>
          <w:sz w:val="28"/>
          <w:szCs w:val="28"/>
        </w:rPr>
        <w:t>Форма промежуточной аттестации - зачет</w:t>
      </w:r>
    </w:p>
    <w:p>
      <w:pPr>
        <w:pStyle w:val="style0"/>
        <w:tabs>
          <w:tab w:leader="none" w:pos="1485" w:val="left"/>
        </w:tabs>
        <w:ind w:firstLine="709" w:left="0" w:right="0"/>
        <w:jc w:val="both"/>
      </w:pPr>
      <w:r>
        <w:rPr>
          <w:rFonts w:ascii="Times New Roman" w:cs="Times New Roman" w:hAnsi="Times New Roman"/>
          <w:sz w:val="28"/>
          <w:szCs w:val="28"/>
        </w:rPr>
        <w:t>Перечень изучаемых тем:</w:t>
      </w:r>
    </w:p>
    <w:p>
      <w:pPr>
        <w:pStyle w:val="style25"/>
        <w:numPr>
          <w:ilvl w:val="0"/>
          <w:numId w:val="1"/>
        </w:numPr>
        <w:spacing w:after="0" w:before="0"/>
        <w:ind w:hanging="357" w:left="714" w:right="0"/>
        <w:contextualSpacing w:val="false"/>
        <w:jc w:val="both"/>
      </w:pPr>
      <w:r>
        <w:rPr>
          <w:rFonts w:ascii="Times New Roman" w:hAnsi="Times New Roman"/>
          <w:bCs/>
          <w:sz w:val="28"/>
          <w:szCs w:val="28"/>
        </w:rPr>
        <w:t>Культура речи и ее составляющие. Коммуникативные качества речи.</w:t>
      </w:r>
    </w:p>
    <w:p>
      <w:pPr>
        <w:pStyle w:val="style25"/>
        <w:numPr>
          <w:ilvl w:val="0"/>
          <w:numId w:val="1"/>
        </w:numPr>
        <w:spacing w:after="0" w:before="0"/>
        <w:ind w:hanging="357" w:left="714" w:right="0"/>
        <w:contextualSpacing w:val="false"/>
        <w:jc w:val="both"/>
      </w:pPr>
      <w:r>
        <w:rPr>
          <w:rFonts w:ascii="Times New Roman" w:hAnsi="Times New Roman"/>
          <w:bCs/>
          <w:sz w:val="28"/>
          <w:szCs w:val="28"/>
        </w:rPr>
        <w:t>Речевое общение как деятельность. Эффективность речевого общения и коммуникативные неудачи.</w:t>
      </w:r>
    </w:p>
    <w:p>
      <w:pPr>
        <w:pStyle w:val="style25"/>
        <w:numPr>
          <w:ilvl w:val="0"/>
          <w:numId w:val="1"/>
        </w:numPr>
        <w:spacing w:after="0" w:before="0"/>
        <w:ind w:hanging="357" w:left="714" w:right="0"/>
        <w:contextualSpacing w:val="false"/>
        <w:jc w:val="both"/>
      </w:pPr>
      <w:r>
        <w:rPr>
          <w:rFonts w:ascii="Times New Roman" w:hAnsi="Times New Roman"/>
          <w:bCs/>
          <w:sz w:val="28"/>
          <w:szCs w:val="28"/>
        </w:rPr>
        <w:t>Деловое общение. Речевые принципы делового общения.</w:t>
      </w:r>
    </w:p>
    <w:p>
      <w:pPr>
        <w:pStyle w:val="style25"/>
        <w:numPr>
          <w:ilvl w:val="0"/>
          <w:numId w:val="1"/>
        </w:numPr>
        <w:spacing w:after="0" w:before="0"/>
        <w:ind w:hanging="357" w:left="714" w:right="0"/>
        <w:contextualSpacing w:val="false"/>
        <w:jc w:val="both"/>
      </w:pPr>
      <w:r>
        <w:rPr>
          <w:rFonts w:ascii="Times New Roman" w:hAnsi="Times New Roman"/>
          <w:bCs/>
          <w:sz w:val="28"/>
          <w:szCs w:val="28"/>
        </w:rPr>
        <w:t>Деловая беседа как один из жанров устного делового общения.</w:t>
      </w:r>
    </w:p>
    <w:p>
      <w:pPr>
        <w:pStyle w:val="style25"/>
        <w:numPr>
          <w:ilvl w:val="0"/>
          <w:numId w:val="1"/>
        </w:numPr>
        <w:spacing w:after="0" w:before="0"/>
        <w:ind w:hanging="357" w:left="714" w:right="0"/>
        <w:contextualSpacing w:val="false"/>
        <w:jc w:val="both"/>
      </w:pPr>
      <w:r>
        <w:rPr>
          <w:rFonts w:ascii="Times New Roman" w:hAnsi="Times New Roman"/>
          <w:bCs/>
          <w:sz w:val="28"/>
          <w:szCs w:val="28"/>
        </w:rPr>
        <w:t>Практические приемы убеждения в речевом взаимодействии (психологические тактики убеждения).</w:t>
      </w:r>
    </w:p>
    <w:p>
      <w:pPr>
        <w:pStyle w:val="style25"/>
        <w:numPr>
          <w:ilvl w:val="0"/>
          <w:numId w:val="1"/>
        </w:numPr>
        <w:spacing w:after="0" w:before="0"/>
        <w:ind w:hanging="357" w:left="714" w:right="0"/>
        <w:contextualSpacing w:val="false"/>
        <w:jc w:val="both"/>
      </w:pPr>
      <w:r>
        <w:rPr>
          <w:rFonts w:ascii="Times New Roman" w:hAnsi="Times New Roman"/>
          <w:bCs/>
          <w:sz w:val="28"/>
          <w:szCs w:val="28"/>
        </w:rPr>
        <w:t>Ведение делового телефонного разговора.</w:t>
      </w:r>
    </w:p>
    <w:p>
      <w:pPr>
        <w:pStyle w:val="style24"/>
        <w:numPr>
          <w:ilvl w:val="0"/>
          <w:numId w:val="1"/>
        </w:numPr>
        <w:spacing w:after="0" w:before="0"/>
        <w:ind w:hanging="357" w:left="714" w:right="0"/>
        <w:contextualSpacing w:val="false"/>
      </w:pPr>
      <w:r>
        <w:rPr>
          <w:sz w:val="28"/>
          <w:szCs w:val="28"/>
        </w:rPr>
        <w:t>Официально-деловая письменная речь. Коммерческая корреспонденция. Речевой этикет в документе.</w:t>
      </w:r>
    </w:p>
    <w:p>
      <w:pPr>
        <w:pStyle w:val="style24"/>
        <w:numPr>
          <w:ilvl w:val="0"/>
          <w:numId w:val="1"/>
        </w:numPr>
        <w:spacing w:after="0" w:before="0"/>
        <w:ind w:hanging="357" w:left="714" w:right="0"/>
        <w:contextualSpacing w:val="false"/>
      </w:pPr>
      <w:r>
        <w:rPr>
          <w:bCs/>
          <w:sz w:val="28"/>
          <w:szCs w:val="28"/>
        </w:rPr>
        <w:t>Типы внутринациональных речевых культур.</w:t>
      </w:r>
    </w:p>
    <w:p>
      <w:pPr>
        <w:pStyle w:val="style0"/>
        <w:spacing w:after="0" w:before="0" w:line="100" w:lineRule="atLeast"/>
        <w:ind w:hanging="0" w:left="502" w:right="0"/>
        <w:contextualSpacing/>
      </w:pPr>
      <w:r>
        <w:rPr>
          <w:rFonts w:ascii="Times New Roman" w:cs="Times New Roman" w:hAnsi="Times New Roman"/>
          <w:b/>
          <w:sz w:val="28"/>
          <w:szCs w:val="28"/>
          <w:lang w:eastAsia="en-US"/>
        </w:rPr>
      </w:r>
    </w:p>
    <w:p>
      <w:pPr>
        <w:pStyle w:val="style0"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0"/>
  <w:defaultTabStop w:val="708"/>
</w:settings>
</file>

<file path=word/styles.xml><?xml version="1.0" encoding="utf-8"?>
<w:styles xmlns:w="http://schemas.openxmlformats.org/wordprocessingml/2006/main">
  <w:style w:styleId="style0" w:type="paragraph">
    <w:name w:val="Базовый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" w:eastAsia="SimSun" w:hAnsi="Calibri"/>
      <w:color w:val="auto"/>
      <w:sz w:val="22"/>
      <w:szCs w:val="22"/>
      <w:lang w:bidi="ar-SA" w:eastAsia="ru-RU" w:val="ru-RU"/>
    </w:rPr>
  </w:style>
  <w:style w:styleId="style15" w:type="character">
    <w:name w:val="Default Paragraph Font"/>
    <w:next w:val="style15"/>
    <w:rPr/>
  </w:style>
  <w:style w:styleId="style16" w:type="character">
    <w:name w:val="Основной текст с отступом Знак"/>
    <w:basedOn w:val="style15"/>
    <w:next w:val="style16"/>
    <w:rPr>
      <w:rFonts w:ascii="Times New Roman" w:cs="" w:hAnsi="Times New Roman"/>
      <w:sz w:val="20"/>
      <w:szCs w:val="20"/>
    </w:rPr>
  </w:style>
  <w:style w:styleId="style17" w:type="character">
    <w:name w:val="Основной текст Знак1"/>
    <w:basedOn w:val="style15"/>
    <w:next w:val="style17"/>
    <w:rPr>
      <w:rFonts w:ascii="Times New Roman" w:cs="Times New Roman" w:hAnsi="Times New Roman"/>
      <w:b/>
      <w:bCs/>
      <w:strike w:val="false"/>
      <w:dstrike w:val="false"/>
      <w:u w:val="none"/>
      <w:effect w:val="none"/>
    </w:rPr>
  </w:style>
  <w:style w:styleId="style18" w:type="character">
    <w:name w:val="Основной текст_"/>
    <w:basedOn w:val="style15"/>
    <w:next w:val="style18"/>
    <w:rPr>
      <w:rFonts w:ascii="Times New Roman" w:cs="Times New Roman" w:eastAsia="Times New Roman" w:hAnsi="Times New Roman"/>
      <w:sz w:val="27"/>
      <w:szCs w:val="27"/>
      <w:shd w:fill="FFFFFF" w:val="clear"/>
    </w:rPr>
  </w:style>
  <w:style w:styleId="style19" w:type="paragraph">
    <w:name w:val="Заголовок"/>
    <w:basedOn w:val="style0"/>
    <w:next w:val="style20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20" w:type="paragraph">
    <w:name w:val="Основной текст"/>
    <w:basedOn w:val="style0"/>
    <w:next w:val="style20"/>
    <w:pPr>
      <w:spacing w:after="120" w:before="0"/>
      <w:contextualSpacing w:val="false"/>
    </w:pPr>
    <w:rPr/>
  </w:style>
  <w:style w:styleId="style21" w:type="paragraph">
    <w:name w:val="Список"/>
    <w:basedOn w:val="style20"/>
    <w:next w:val="style21"/>
    <w:pPr/>
    <w:rPr>
      <w:rFonts w:cs="Mangal"/>
    </w:rPr>
  </w:style>
  <w:style w:styleId="style22" w:type="paragraph">
    <w:name w:val="Название"/>
    <w:basedOn w:val="style0"/>
    <w:next w:val="style22"/>
    <w:pPr>
      <w:suppressLineNumbers/>
      <w:spacing w:after="120" w:before="120"/>
      <w:contextualSpacing w:val="false"/>
    </w:pPr>
    <w:rPr>
      <w:rFonts w:cs="Mangal"/>
      <w:i/>
      <w:iCs/>
      <w:sz w:val="24"/>
      <w:szCs w:val="24"/>
    </w:rPr>
  </w:style>
  <w:style w:styleId="style23" w:type="paragraph">
    <w:name w:val="Указатель"/>
    <w:basedOn w:val="style0"/>
    <w:next w:val="style23"/>
    <w:pPr>
      <w:suppressLineNumbers/>
    </w:pPr>
    <w:rPr>
      <w:rFonts w:cs="Mangal"/>
    </w:rPr>
  </w:style>
  <w:style w:styleId="style24" w:type="paragraph">
    <w:name w:val="Основной текст с отступом"/>
    <w:basedOn w:val="style0"/>
    <w:next w:val="style24"/>
    <w:pPr>
      <w:spacing w:after="120" w:before="0" w:line="100" w:lineRule="atLeast"/>
      <w:ind w:hanging="0" w:left="283" w:right="0"/>
      <w:contextualSpacing w:val="false"/>
    </w:pPr>
    <w:rPr>
      <w:rFonts w:ascii="Times New Roman" w:cs="Times New Roman" w:hAnsi="Times New Roman"/>
      <w:sz w:val="20"/>
      <w:szCs w:val="20"/>
      <w:lang w:eastAsia="en-US"/>
    </w:rPr>
  </w:style>
  <w:style w:styleId="style25" w:type="paragraph">
    <w:name w:val="List Paragraph"/>
    <w:basedOn w:val="style0"/>
    <w:next w:val="style25"/>
    <w:pPr>
      <w:spacing w:after="0" w:before="0" w:line="100" w:lineRule="atLeast"/>
      <w:ind w:hanging="0" w:left="720" w:right="0"/>
      <w:contextualSpacing/>
    </w:pPr>
    <w:rPr>
      <w:rFonts w:ascii="Calibri" w:cs="Times New Roman" w:hAnsi="Calibri"/>
      <w:lang w:eastAsia="en-US"/>
    </w:rPr>
  </w:style>
  <w:style w:styleId="style26" w:type="paragraph">
    <w:name w:val="Основной текст2"/>
    <w:basedOn w:val="style0"/>
    <w:next w:val="style26"/>
    <w:pPr>
      <w:widowControl w:val="false"/>
      <w:shd w:fill="FFFFFF" w:val="clear"/>
      <w:spacing w:after="0" w:before="360" w:lineRule="auto"/>
      <w:contextualSpacing w:val="false"/>
    </w:pPr>
    <w:rPr>
      <w:rFonts w:ascii="Times New Roman" w:cs="Times New Roman" w:eastAsia="Times New Roman" w:hAnsi="Times New Roman"/>
      <w:sz w:val="27"/>
      <w:szCs w:val="27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2016-10-22T06:05:00.00Z</dcterms:created>
  <dc:creator>Primcom</dc:creator>
  <cp:lastModifiedBy>Primcom</cp:lastModifiedBy>
  <dcterms:modified xsi:type="dcterms:W3CDTF">2016-10-22T06:05:00.00Z</dcterms:modified>
  <cp:revision>1</cp:revision>
</cp:coreProperties>
</file>