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tabs>
          <w:tab w:leader="none" w:pos="1485" w:val="left"/>
        </w:tabs>
        <w:jc w:val="center"/>
      </w:pPr>
      <w:r>
        <w:rPr>
          <w:rFonts w:eastAsia="Times New Roman"/>
          <w:b/>
          <w:sz w:val="28"/>
          <w:szCs w:val="28"/>
        </w:rPr>
        <w:t>Аннотация дисциплины «</w:t>
      </w:r>
      <w:r>
        <w:rPr>
          <w:rFonts w:eastAsia="Times New Roman"/>
          <w:b/>
          <w:sz w:val="28"/>
          <w:szCs w:val="28"/>
          <w:lang w:eastAsia="ru-RU"/>
        </w:rPr>
        <w:t xml:space="preserve">Правовое регулирование </w:t>
      </w:r>
    </w:p>
    <w:p>
      <w:pPr>
        <w:pStyle w:val="style0"/>
        <w:tabs>
          <w:tab w:leader="none" w:pos="1485" w:val="left"/>
        </w:tabs>
        <w:jc w:val="center"/>
      </w:pPr>
      <w:r>
        <w:rPr>
          <w:rFonts w:eastAsia="Times New Roman"/>
          <w:b/>
          <w:sz w:val="28"/>
          <w:szCs w:val="28"/>
          <w:lang w:eastAsia="ru-RU"/>
        </w:rPr>
        <w:t>коммерческой деятельности</w:t>
      </w:r>
      <w:r>
        <w:rPr>
          <w:rFonts w:eastAsia="Times New Roman"/>
          <w:b/>
          <w:sz w:val="28"/>
          <w:szCs w:val="28"/>
        </w:rPr>
        <w:t>»</w:t>
      </w:r>
    </w:p>
    <w:p>
      <w:pPr>
        <w:pStyle w:val="style0"/>
        <w:ind w:firstLine="561" w:left="0" w:right="0"/>
        <w:jc w:val="center"/>
      </w:pPr>
      <w:r>
        <w:rPr>
          <w:rFonts w:eastAsia="Times New Roman"/>
          <w:b/>
          <w:sz w:val="28"/>
          <w:szCs w:val="28"/>
        </w:rPr>
        <w:t>Направление 38.03.07 Товароведение</w:t>
      </w:r>
    </w:p>
    <w:p>
      <w:pPr>
        <w:pStyle w:val="style0"/>
        <w:ind w:firstLine="561" w:left="0" w:right="0"/>
        <w:jc w:val="center"/>
      </w:pPr>
      <w:r>
        <w:rPr/>
      </w:r>
    </w:p>
    <w:p>
      <w:pPr>
        <w:pStyle w:val="style0"/>
        <w:ind w:firstLine="561" w:left="0" w:right="0"/>
        <w:jc w:val="center"/>
      </w:pPr>
      <w:r>
        <w:rPr>
          <w:rFonts w:eastAsia="Times New Roman"/>
          <w:b/>
          <w:sz w:val="28"/>
          <w:szCs w:val="28"/>
        </w:rPr>
        <w:t>Программа подготовки: прикладной бакалавриат</w:t>
      </w:r>
    </w:p>
    <w:p>
      <w:pPr>
        <w:pStyle w:val="style0"/>
        <w:ind w:firstLine="561" w:left="0" w:right="0"/>
        <w:jc w:val="center"/>
      </w:pPr>
      <w:r>
        <w:rPr/>
      </w:r>
    </w:p>
    <w:p>
      <w:pPr>
        <w:pStyle w:val="style0"/>
        <w:ind w:firstLine="561" w:left="0" w:right="0"/>
      </w:pPr>
      <w:r>
        <w:rPr>
          <w:b/>
          <w:sz w:val="24"/>
        </w:rPr>
        <w:t xml:space="preserve">Цель дисциплины: </w:t>
      </w:r>
      <w:r>
        <w:rPr>
          <w:sz w:val="24"/>
          <w:szCs w:val="24"/>
        </w:rPr>
        <w:t>овладение студентами знаниями в области правового регулирования коммерческой деятельности и умением применять их в будущей профессиональной деятельности</w:t>
      </w:r>
      <w:r>
        <w:rPr>
          <w:sz w:val="28"/>
          <w:szCs w:val="28"/>
        </w:rPr>
        <w:t>.</w:t>
      </w:r>
    </w:p>
    <w:p>
      <w:pPr>
        <w:pStyle w:val="style0"/>
        <w:tabs>
          <w:tab w:leader="none" w:pos="1485" w:val="left"/>
        </w:tabs>
        <w:spacing w:after="120" w:before="120"/>
        <w:ind w:firstLine="709" w:left="0" w:right="0"/>
        <w:contextualSpacing w:val="false"/>
        <w:jc w:val="center"/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jc w:val="left"/>
        <w:tblInd w:type="dxa" w:w="-5"/>
        <w:tblBorders>
          <w:top w:color="00000A" w:space="0" w:sz="4" w:val="single"/>
          <w:left w:color="00000A" w:space="0" w:sz="4" w:val="single"/>
          <w:bottom w:color="00000A" w:space="0" w:sz="4" w:val="single"/>
          <w:insideH w:color="00000A" w:space="0" w:sz="4" w:val="single"/>
          <w:right w:color="00000A" w:space="0" w:sz="4" w:val="single"/>
          <w:insideV w:color="00000A" w:space="0" w:sz="4" w:val="single"/>
        </w:tblBorders>
        <w:tblCellMar>
          <w:top w:type="dxa" w:w="0"/>
          <w:left w:type="dxa" w:w="80"/>
          <w:bottom w:type="dxa" w:w="0"/>
          <w:right w:type="dxa" w:w="85"/>
        </w:tblCellMar>
      </w:tblPr>
      <w:tblGrid>
        <w:gridCol w:w="792"/>
        <w:gridCol w:w="8647"/>
      </w:tblGrid>
      <w:tr>
        <w:trPr>
          <w:trHeight w:hRule="atLeast" w:val="619"/>
          <w:cantSplit w:val="false"/>
        </w:trPr>
        <w:tc>
          <w:tcPr>
            <w:tcW w:type="dxa" w:w="79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80"/>
            </w:tcMar>
          </w:tcPr>
          <w:p>
            <w:pPr>
              <w:pStyle w:val="style0"/>
              <w:spacing w:line="276" w:lineRule="auto"/>
              <w:jc w:val="center"/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r>
              <w:rPr>
                <w:rFonts w:eastAsia="Times New Roman"/>
                <w:bCs/>
                <w:iCs/>
                <w:sz w:val="24"/>
                <w:szCs w:val="24"/>
              </w:rPr>
              <w:t>п/п</w:t>
            </w:r>
          </w:p>
        </w:tc>
        <w:tc>
          <w:tcPr>
            <w:tcW w:type="dxa" w:w="864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80"/>
            </w:tcMar>
          </w:tcPr>
          <w:p>
            <w:pPr>
              <w:pStyle w:val="style0"/>
              <w:spacing w:line="276" w:lineRule="auto"/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>
        <w:trPr>
          <w:trHeight w:hRule="atLeast" w:val="270"/>
          <w:cantSplit w:val="false"/>
        </w:trPr>
        <w:tc>
          <w:tcPr>
            <w:tcW w:type="dxa" w:w="79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80"/>
            </w:tcMar>
          </w:tcPr>
          <w:p>
            <w:pPr>
              <w:pStyle w:val="style0"/>
              <w:spacing w:line="276" w:lineRule="auto"/>
              <w:jc w:val="center"/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type="dxa" w:w="864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80"/>
            </w:tcMar>
          </w:tcPr>
          <w:p>
            <w:pPr>
              <w:pStyle w:val="style0"/>
              <w:spacing w:line="276" w:lineRule="auto"/>
            </w:pPr>
            <w:r>
              <w:rPr>
                <w:sz w:val="20"/>
                <w:szCs w:val="20"/>
              </w:rPr>
              <w:t>способностью использовать основы правовых знаний в различных сферах деятельности (ОК-4)</w:t>
            </w:r>
          </w:p>
        </w:tc>
      </w:tr>
      <w:tr>
        <w:trPr>
          <w:trHeight w:hRule="atLeast" w:val="270"/>
          <w:cantSplit w:val="false"/>
        </w:trPr>
        <w:tc>
          <w:tcPr>
            <w:tcW w:type="dxa" w:w="79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80"/>
            </w:tcMar>
          </w:tcPr>
          <w:p>
            <w:pPr>
              <w:pStyle w:val="style0"/>
              <w:spacing w:line="276" w:lineRule="auto"/>
              <w:jc w:val="center"/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type="dxa" w:w="864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80"/>
            </w:tcMar>
          </w:tcPr>
          <w:p>
            <w:pPr>
              <w:pStyle w:val="style0"/>
              <w:spacing w:line="276" w:lineRule="auto"/>
            </w:pPr>
            <w:r>
              <w:rPr>
                <w:sz w:val="20"/>
                <w:szCs w:val="20"/>
              </w:rPr>
              <w:t>умением использовать нормативно-правовые акты в своей профессиональной деятельности (ОПК-3)</w:t>
            </w:r>
          </w:p>
        </w:tc>
      </w:tr>
    </w:tbl>
    <w:p>
      <w:pPr>
        <w:pStyle w:val="style0"/>
        <w:jc w:val="center"/>
      </w:pPr>
      <w:r>
        <w:rPr/>
      </w:r>
    </w:p>
    <w:p>
      <w:pPr>
        <w:pStyle w:val="style0"/>
        <w:ind w:firstLine="561" w:left="0" w:right="0"/>
        <w:jc w:val="center"/>
      </w:pPr>
      <w:r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rFonts w:eastAsia="Times New Roman"/>
          <w:b/>
          <w:sz w:val="24"/>
          <w:szCs w:val="24"/>
        </w:rPr>
        <w:t xml:space="preserve">аправлению </w:t>
      </w:r>
      <w:r>
        <w:rPr>
          <w:rFonts w:eastAsia="Times New Roman"/>
          <w:b/>
          <w:sz w:val="28"/>
          <w:szCs w:val="28"/>
        </w:rPr>
        <w:t>38.03.07 Товароведение</w:t>
      </w:r>
    </w:p>
    <w:p>
      <w:pPr>
        <w:pStyle w:val="style0"/>
        <w:jc w:val="center"/>
      </w:pPr>
      <w:r>
        <w:rPr/>
      </w:r>
    </w:p>
    <w:tbl>
      <w:tblPr>
        <w:jc w:val="left"/>
        <w:tblInd w:type="dxa" w:w="-5"/>
        <w:tblBorders>
          <w:top w:color="00000A" w:space="0" w:sz="4" w:val="single"/>
          <w:left w:color="00000A" w:space="0" w:sz="4" w:val="single"/>
          <w:bottom w:color="00000A" w:space="0" w:sz="4" w:val="single"/>
          <w:insideH w:color="00000A" w:space="0" w:sz="4" w:val="single"/>
          <w:right w:color="00000A" w:space="0" w:sz="4" w:val="single"/>
          <w:insideV w:color="00000A" w:space="0" w:sz="4" w:val="single"/>
        </w:tblBorders>
        <w:tblCellMar>
          <w:top w:type="dxa" w:w="0"/>
          <w:left w:type="dxa" w:w="103"/>
          <w:bottom w:type="dxa" w:w="0"/>
          <w:right w:type="dxa" w:w="108"/>
        </w:tblCellMar>
      </w:tblPr>
      <w:tblGrid>
        <w:gridCol w:w="6062"/>
        <w:gridCol w:w="3401"/>
      </w:tblGrid>
      <w:tr>
        <w:trPr>
          <w:cantSplit w:val="false"/>
        </w:trPr>
        <w:tc>
          <w:tcPr>
            <w:tcW w:type="dxa" w:w="6062"/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spacing w:line="276" w:lineRule="auto"/>
              <w:jc w:val="center"/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type="dxa" w:w="340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spacing w:line="276" w:lineRule="auto"/>
              <w:jc w:val="center"/>
            </w:pPr>
            <w:r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>
        <w:trPr>
          <w:cantSplit w:val="false"/>
        </w:trPr>
        <w:tc>
          <w:tcPr>
            <w:tcW w:type="dxa" w:w="6062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  <w:vAlign w:val="center"/>
          </w:tcPr>
          <w:p>
            <w:pPr>
              <w:pStyle w:val="style0"/>
              <w:jc w:val="left"/>
            </w:pPr>
            <w:r>
              <w:rPr/>
            </w:r>
          </w:p>
        </w:tc>
        <w:tc>
          <w:tcPr>
            <w:tcW w:type="dxa" w:w="340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spacing w:line="276" w:lineRule="auto"/>
              <w:jc w:val="center"/>
            </w:pPr>
            <w:r>
              <w:rPr>
                <w:rFonts w:eastAsia="Times New Roman"/>
                <w:sz w:val="24"/>
                <w:szCs w:val="24"/>
              </w:rPr>
              <w:t>очная</w:t>
            </w:r>
          </w:p>
        </w:tc>
      </w:tr>
      <w:tr>
        <w:trPr>
          <w:cantSplit w:val="false"/>
        </w:trPr>
        <w:tc>
          <w:tcPr>
            <w:tcW w:type="dxa" w:w="6062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  <w:vAlign w:val="center"/>
          </w:tcPr>
          <w:p>
            <w:pPr>
              <w:pStyle w:val="style0"/>
              <w:jc w:val="left"/>
            </w:pPr>
            <w:r>
              <w:rPr/>
            </w:r>
          </w:p>
        </w:tc>
        <w:tc>
          <w:tcPr>
            <w:tcW w:type="dxa" w:w="340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spacing w:line="276" w:lineRule="auto"/>
              <w:jc w:val="center"/>
            </w:pPr>
            <w:r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>
        <w:trPr>
          <w:cantSplit w:val="false"/>
        </w:trPr>
        <w:tc>
          <w:tcPr>
            <w:tcW w:type="dxa" w:w="6062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  <w:vAlign w:val="center"/>
          </w:tcPr>
          <w:p>
            <w:pPr>
              <w:pStyle w:val="style0"/>
              <w:jc w:val="left"/>
            </w:pPr>
            <w:r>
              <w:rPr/>
            </w:r>
          </w:p>
        </w:tc>
        <w:tc>
          <w:tcPr>
            <w:tcW w:type="dxa" w:w="340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spacing w:line="276" w:lineRule="auto"/>
              <w:jc w:val="center"/>
            </w:pPr>
            <w:r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>
        <w:trPr>
          <w:cantSplit w:val="false"/>
        </w:trPr>
        <w:tc>
          <w:tcPr>
            <w:tcW w:type="dxa" w:w="606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spacing w:line="276" w:lineRule="auto"/>
              <w:jc w:val="left"/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type="dxa" w:w="340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spacing w:line="276" w:lineRule="auto"/>
              <w:jc w:val="center"/>
            </w:pPr>
            <w:r>
              <w:rPr>
                <w:rFonts w:eastAsia="Times New Roman"/>
                <w:color w:val="00000A"/>
                <w:sz w:val="24"/>
                <w:szCs w:val="24"/>
                <w:shd w:fill="FFFFFF" w:val="clear"/>
              </w:rPr>
              <w:t>46</w:t>
            </w:r>
          </w:p>
        </w:tc>
      </w:tr>
      <w:tr>
        <w:trPr>
          <w:trHeight w:hRule="atLeast" w:val="404"/>
          <w:cantSplit w:val="false"/>
        </w:trPr>
        <w:tc>
          <w:tcPr>
            <w:tcW w:type="dxa" w:w="606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spacing w:line="276" w:lineRule="auto"/>
              <w:jc w:val="center"/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>
            <w:pPr>
              <w:pStyle w:val="style0"/>
              <w:spacing w:line="276" w:lineRule="auto"/>
              <w:jc w:val="left"/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type="dxa" w:w="340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spacing w:line="276" w:lineRule="auto"/>
              <w:jc w:val="center"/>
            </w:pPr>
            <w:r>
              <w:rPr/>
            </w:r>
          </w:p>
          <w:p>
            <w:pPr>
              <w:pStyle w:val="style0"/>
              <w:spacing w:line="276" w:lineRule="auto"/>
              <w:jc w:val="center"/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</w:tr>
      <w:tr>
        <w:trPr>
          <w:cantSplit w:val="false"/>
        </w:trPr>
        <w:tc>
          <w:tcPr>
            <w:tcW w:type="dxa" w:w="606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spacing w:line="276" w:lineRule="auto"/>
              <w:jc w:val="left"/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type="dxa" w:w="340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spacing w:line="276" w:lineRule="auto"/>
              <w:jc w:val="center"/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>
        <w:trPr>
          <w:cantSplit w:val="false"/>
        </w:trPr>
        <w:tc>
          <w:tcPr>
            <w:tcW w:type="dxa" w:w="606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spacing w:line="276" w:lineRule="auto"/>
              <w:jc w:val="left"/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type="dxa" w:w="340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spacing w:line="276" w:lineRule="auto"/>
              <w:jc w:val="center"/>
            </w:pPr>
            <w:bookmarkStart w:id="0" w:name="_GoBack"/>
            <w:bookmarkEnd w:id="0"/>
            <w:r>
              <w:rPr>
                <w:rFonts w:eastAsia="Times New Roman"/>
                <w:sz w:val="24"/>
                <w:szCs w:val="24"/>
              </w:rPr>
              <w:t>30</w:t>
            </w:r>
          </w:p>
        </w:tc>
      </w:tr>
      <w:tr>
        <w:trPr>
          <w:cantSplit w:val="false"/>
        </w:trPr>
        <w:tc>
          <w:tcPr>
            <w:tcW w:type="dxa" w:w="606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spacing w:line="276" w:lineRule="auto"/>
              <w:jc w:val="left"/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type="dxa" w:w="340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spacing w:line="276" w:lineRule="auto"/>
              <w:jc w:val="center"/>
            </w:pPr>
            <w:r>
              <w:rPr>
                <w:rFonts w:eastAsia="Times New Roman"/>
                <w:sz w:val="24"/>
                <w:szCs w:val="24"/>
              </w:rPr>
              <w:t>62</w:t>
            </w:r>
          </w:p>
        </w:tc>
      </w:tr>
      <w:tr>
        <w:trPr>
          <w:cantSplit w:val="false"/>
        </w:trPr>
        <w:tc>
          <w:tcPr>
            <w:tcW w:type="dxa" w:w="606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spacing w:line="276" w:lineRule="auto"/>
              <w:jc w:val="left"/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type="dxa" w:w="340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spacing w:line="276" w:lineRule="auto"/>
              <w:jc w:val="center"/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>
        <w:trPr>
          <w:cantSplit w:val="false"/>
        </w:trPr>
        <w:tc>
          <w:tcPr>
            <w:tcW w:type="dxa" w:w="606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spacing w:line="276" w:lineRule="auto"/>
              <w:jc w:val="left"/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type="dxa" w:w="340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spacing w:line="276" w:lineRule="auto"/>
              <w:jc w:val="center"/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>
      <w:pPr>
        <w:pStyle w:val="style22"/>
        <w:ind w:hanging="0" w:left="0" w:right="0"/>
      </w:pPr>
      <w:r>
        <w:rPr/>
      </w:r>
    </w:p>
    <w:p>
      <w:pPr>
        <w:pStyle w:val="style22"/>
        <w:ind w:hanging="0" w:left="0" w:right="0"/>
      </w:pPr>
      <w:r>
        <w:rPr>
          <w:b/>
          <w:sz w:val="24"/>
        </w:rPr>
        <w:t>Формы промежуточной аттестации: экзамен</w:t>
      </w:r>
    </w:p>
    <w:p>
      <w:pPr>
        <w:pStyle w:val="style22"/>
      </w:pPr>
      <w:r>
        <w:rPr>
          <w:b/>
          <w:sz w:val="24"/>
        </w:rPr>
        <w:t>Перечень изучаемых тем (основных):</w:t>
      </w:r>
    </w:p>
    <w:p>
      <w:pPr>
        <w:pStyle w:val="style23"/>
        <w:numPr>
          <w:ilvl w:val="0"/>
          <w:numId w:val="1"/>
        </w:numPr>
      </w:pPr>
      <w:r>
        <w:rPr>
          <w:bCs/>
          <w:sz w:val="24"/>
          <w:szCs w:val="24"/>
        </w:rPr>
        <w:t>Субъекты и объекты  коммерческой деятельности.</w:t>
      </w:r>
    </w:p>
    <w:p>
      <w:pPr>
        <w:pStyle w:val="style23"/>
        <w:numPr>
          <w:ilvl w:val="0"/>
          <w:numId w:val="1"/>
        </w:numPr>
      </w:pPr>
      <w:r>
        <w:rPr>
          <w:bCs/>
          <w:sz w:val="24"/>
          <w:szCs w:val="24"/>
        </w:rPr>
        <w:t>Сделки и представительство.</w:t>
      </w:r>
    </w:p>
    <w:p>
      <w:pPr>
        <w:pStyle w:val="style23"/>
        <w:numPr>
          <w:ilvl w:val="0"/>
          <w:numId w:val="1"/>
        </w:numPr>
      </w:pPr>
      <w:r>
        <w:rPr>
          <w:bCs/>
          <w:sz w:val="24"/>
          <w:szCs w:val="24"/>
        </w:rPr>
        <w:t>Ответственность субъектов предпринимательства.</w:t>
      </w:r>
    </w:p>
    <w:p>
      <w:pPr>
        <w:pStyle w:val="style23"/>
        <w:numPr>
          <w:ilvl w:val="0"/>
          <w:numId w:val="1"/>
        </w:numPr>
      </w:pPr>
      <w:r>
        <w:rPr>
          <w:sz w:val="24"/>
          <w:szCs w:val="24"/>
        </w:rPr>
        <w:t>Правовое регулирование разработки и распространения товара.</w:t>
      </w:r>
    </w:p>
    <w:p>
      <w:pPr>
        <w:pStyle w:val="style23"/>
        <w:numPr>
          <w:ilvl w:val="0"/>
          <w:numId w:val="1"/>
        </w:numPr>
      </w:pPr>
      <w:r>
        <w:rPr>
          <w:sz w:val="24"/>
          <w:szCs w:val="24"/>
        </w:rPr>
        <w:t>Государственное управление качеством продукции.</w:t>
      </w:r>
    </w:p>
    <w:p>
      <w:pPr>
        <w:pStyle w:val="style23"/>
        <w:numPr>
          <w:ilvl w:val="0"/>
          <w:numId w:val="1"/>
        </w:numPr>
      </w:pPr>
      <w:r>
        <w:rPr>
          <w:sz w:val="24"/>
          <w:szCs w:val="24"/>
        </w:rPr>
        <w:t>Правовое регулирование ценообразования</w:t>
      </w:r>
    </w:p>
    <w:p>
      <w:pPr>
        <w:pStyle w:val="style23"/>
        <w:numPr>
          <w:ilvl w:val="0"/>
          <w:numId w:val="1"/>
        </w:numPr>
      </w:pPr>
      <w:r>
        <w:rPr>
          <w:sz w:val="24"/>
          <w:szCs w:val="24"/>
        </w:rPr>
        <w:t>Правовое регулирование конкуренции.</w:t>
      </w:r>
    </w:p>
    <w:p>
      <w:pPr>
        <w:pStyle w:val="style23"/>
        <w:numPr>
          <w:ilvl w:val="0"/>
          <w:numId w:val="1"/>
        </w:numPr>
      </w:pPr>
      <w:r>
        <w:rPr>
          <w:sz w:val="24"/>
          <w:szCs w:val="24"/>
        </w:rPr>
        <w:t>Налогообложение коммерческой деятельности.</w:t>
      </w:r>
    </w:p>
    <w:p>
      <w:pPr>
        <w:pStyle w:val="style23"/>
        <w:numPr>
          <w:ilvl w:val="0"/>
          <w:numId w:val="1"/>
        </w:numPr>
      </w:pPr>
      <w:r>
        <w:rPr>
          <w:rFonts w:eastAsia="Times New Roman"/>
          <w:sz w:val="24"/>
          <w:szCs w:val="24"/>
          <w:lang w:eastAsia="ru-RU"/>
        </w:rPr>
        <w:t>Защита коммерческой деятельности и прав потребителей.</w:t>
      </w:r>
    </w:p>
    <w:p>
      <w:pPr>
        <w:pStyle w:val="style0"/>
      </w:pPr>
      <w:r>
        <w:rPr/>
      </w:r>
    </w:p>
    <w:sectPr>
      <w:type w:val="nextPage"/>
      <w:pgSz w:h="16838" w:w="11906"/>
      <w:pgMar w:bottom="1134" w:footer="0" w:gutter="0" w:header="0" w:left="1701" w:right="850" w:top="1134"/>
      <w:pgNumType w:fmt="decimal"/>
      <w:formProt w:val="false"/>
      <w:textDirection w:val="lrTb"/>
      <w:docGrid w:charSpace="8192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360" w:left="64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5"/>
  <w:defaultTabStop w:val="708"/>
</w:settings>
</file>

<file path=word/styles.xml><?xml version="1.0" encoding="utf-8"?>
<w:styles xmlns:w="http://schemas.openxmlformats.org/wordprocessingml/2006/main">
  <w:style w:styleId="style0" w:type="paragraph">
    <w:name w:val="Базовый"/>
    <w:next w:val="style0"/>
    <w:pPr>
      <w:widowControl/>
      <w:suppressAutoHyphens w:val="true"/>
      <w:spacing w:line="100" w:lineRule="atLeast"/>
      <w:ind w:hanging="0" w:left="0" w:right="0"/>
      <w:jc w:val="both"/>
    </w:pPr>
    <w:rPr>
      <w:rFonts w:ascii="Times New Roman" w:cs="Calibri" w:eastAsia="Calibri" w:hAnsi="Times New Roman"/>
      <w:color w:val="00000A"/>
      <w:sz w:val="22"/>
      <w:szCs w:val="22"/>
      <w:lang w:bidi="ar-SA" w:eastAsia="en-US" w:val="ru-RU"/>
    </w:rPr>
  </w:style>
  <w:style w:styleId="style15" w:type="character">
    <w:name w:val="Default Paragraph Font"/>
    <w:next w:val="style15"/>
    <w:rPr/>
  </w:style>
  <w:style w:styleId="style16" w:type="character">
    <w:name w:val="Основной текст с отступом Знак"/>
    <w:basedOn w:val="style15"/>
    <w:next w:val="style16"/>
    <w:rPr>
      <w:rFonts w:eastAsia="Times New Roman"/>
      <w:sz w:val="24"/>
      <w:szCs w:val="24"/>
      <w:lang w:eastAsia="ru-RU"/>
    </w:rPr>
  </w:style>
  <w:style w:styleId="style17" w:type="paragraph">
    <w:name w:val="Заголовок"/>
    <w:basedOn w:val="style0"/>
    <w:next w:val="style18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18" w:type="paragraph">
    <w:name w:val="Основной текст"/>
    <w:basedOn w:val="style0"/>
    <w:next w:val="style18"/>
    <w:pPr>
      <w:spacing w:after="120" w:before="0"/>
      <w:contextualSpacing w:val="false"/>
    </w:pPr>
    <w:rPr/>
  </w:style>
  <w:style w:styleId="style19" w:type="paragraph">
    <w:name w:val="Список"/>
    <w:basedOn w:val="style18"/>
    <w:next w:val="style19"/>
    <w:pPr/>
    <w:rPr>
      <w:rFonts w:cs="Mangal"/>
    </w:rPr>
  </w:style>
  <w:style w:styleId="style20" w:type="paragraph">
    <w:name w:val="Название"/>
    <w:basedOn w:val="style0"/>
    <w:next w:val="style20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1" w:type="paragraph">
    <w:name w:val="Указатель"/>
    <w:basedOn w:val="style0"/>
    <w:next w:val="style21"/>
    <w:pPr>
      <w:suppressLineNumbers/>
    </w:pPr>
    <w:rPr>
      <w:rFonts w:cs="Mangal"/>
    </w:rPr>
  </w:style>
  <w:style w:styleId="style22" w:type="paragraph">
    <w:name w:val="Основной текст с отступом"/>
    <w:basedOn w:val="style0"/>
    <w:next w:val="style22"/>
    <w:pPr>
      <w:ind w:firstLine="709" w:left="0" w:right="0"/>
    </w:pPr>
    <w:rPr>
      <w:rFonts w:eastAsia="Times New Roman"/>
      <w:sz w:val="24"/>
      <w:szCs w:val="24"/>
      <w:lang w:eastAsia="ru-RU"/>
    </w:rPr>
  </w:style>
  <w:style w:styleId="style23" w:type="paragraph">
    <w:name w:val="List Paragraph"/>
    <w:basedOn w:val="style0"/>
    <w:next w:val="style23"/>
    <w:pPr>
      <w:spacing w:after="0" w:before="0"/>
      <w:ind w:hanging="0" w:left="720" w:right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LibreOffice/4.0.0.3$Windows_x86 LibreOffice_project/7545bee9c2a0782548772a21bc84a9dcc583b89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2016-10-27T04:47:00.00Z</dcterms:created>
  <dc:creator>User</dc:creator>
  <cp:lastModifiedBy>user7</cp:lastModifiedBy>
  <dcterms:modified xsi:type="dcterms:W3CDTF">2016-10-27T04:47:00.00Z</dcterms:modified>
  <cp:revision>2</cp:revision>
</cp:coreProperties>
</file>